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A8D85">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国家艺术基金（一般项目）2027年度艺术人才培训资助项目申报指南</w:t>
      </w:r>
    </w:p>
    <w:p w14:paraId="01EAF51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国家艺术基金面向社会受理艺术人才培训资助项目的申报，组织专家评审，确定资助项目和资助额度，并实施监管。</w:t>
      </w:r>
    </w:p>
    <w:p w14:paraId="0E3D34A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根据《国家艺术基金章程》《中央专项彩票公益金支持国家艺术基金项目资金管理办法》，结合《国家艺术基金项目资助管理办法》《国家艺术基金资助项目经费管理办法》等文件，制定本指南。</w:t>
      </w:r>
    </w:p>
    <w:p w14:paraId="6B4DE24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一、资助要求</w:t>
      </w:r>
    </w:p>
    <w:p w14:paraId="3C3F24C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资助坚持以习近平新时代中国特色社会主义思想为指导，全面贯彻落实党的二十大和二十届历次全会精神，深入学习实践习近平文化思想，坚持为人民服务、为社会主义服务，坚持百花齐放、百家争鸣，坚持创造性转化、创新性发展，坚持以人民为中心的工作导向，坚持出成果和出人才相结合、抓作品和抓环境相贯通，尊重人才成长规律，以建设规模宏大、结构合理、锐意创新的高水平文化人才队伍为目标的培训项目。</w:t>
      </w:r>
    </w:p>
    <w:p w14:paraId="583244B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二、资助范围</w:t>
      </w:r>
    </w:p>
    <w:p w14:paraId="46EFC98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资助舞台艺术、绘画、雕塑、书法、篆刻、摄影和工艺美术等领域创作人才、经营管理人才和文艺评论人才培训。不资助古代艺术品（文物）保护利用人才培训、非物质文化遗产传承人培训和以城乡空间规划设计为主要内容的人才培训项目。培训分为国内短期培训、中长期培训和国外研修计划。</w:t>
      </w:r>
    </w:p>
    <w:p w14:paraId="4E9586C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（一）项目设计要遵循高层次、小批量原则，体现灵活性、多样化特点，鼓励艺术经验的直接传授、理论与实践的结合，以及围绕具体创作任务出作品、出人才。</w:t>
      </w:r>
    </w:p>
    <w:p w14:paraId="7316B2E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创作人才培训重在艺术实践和经验传授，注重提升专业技能、拓宽艺术视野和培养创新能力；经营管理人才培训重在培养熟悉艺术创作生产规律，了解市场运行机制，能够做好艺术作品宣传推广和市场经营工作的复合型人才；文艺评论人才培训重在培养能够针对创作观念、方法和实践开展评论的人才。</w:t>
      </w:r>
    </w:p>
    <w:p w14:paraId="782CFF8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（三）国外研修计划重在与国外艺术机构、单位合作开展培训活动，选派、支持优秀艺术人才赴国外艺术团体和经营机构学习实践，提升专业技能，提高推广交流和经营管理能力。</w:t>
      </w:r>
    </w:p>
    <w:p w14:paraId="39A627F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三、申请额度</w:t>
      </w:r>
    </w:p>
    <w:p w14:paraId="2571E30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国家艺术基金依据申报项目的培训类别、学员数量、授课时长等因素，同时参考项目申报主体制定的项目预算核定资助资金。</w:t>
      </w:r>
    </w:p>
    <w:p w14:paraId="4B4F2E6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四、资助方式</w:t>
      </w:r>
    </w:p>
    <w:p w14:paraId="036EAB3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家艺术基金对聘请教师、学员交通食宿、租赁培训场所和开展艺术实践活动等给予资助，承担项目的机构或单位须将资助资金全部用于项目开支，不得向学员收取学费等其他费用，不得与自行举办的其他培训项目拼班、交叉。</w:t>
      </w:r>
    </w:p>
    <w:p w14:paraId="2AFE87A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（二）对具备实施条件的资助项目，国家艺术基金将先期拨付资助资金总额的50%作为启动经费；项目开班且中期监督合格后，拨付资助资金总额的30%；项目完成且验收合格后，拨付剩余20%的资助资金。</w:t>
      </w:r>
    </w:p>
    <w:p w14:paraId="6935A89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（三）项目经费支付按照国库集中支付有关制度规定执行。</w:t>
      </w:r>
    </w:p>
    <w:p w14:paraId="19D094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承担项目的机构或单位应适度控制培训规模，短期培训原则上参加培训的学员应控制在30名以内，最多不能超过50名；中长期培训原则上参加培训的学员应控制在20名以内，最多不能超过30名。要面向全国择优遴选培训对象，学员确定后应将名单及个人简历报送国家艺术基金管理中心（以下简称“管理中心”）核准。</w:t>
      </w:r>
    </w:p>
    <w:p w14:paraId="575273F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承担项目的机构或单位应保证培训时间，短期培训原则上培训时间应不少于60日，不超过180日，且集中培训时间应不少于30日；中长期培训原则上培训时间应不少于1年，且集中培训时间应不少于90日；国外研修计划安排在国外学习实践时间应不少于60日。培训可依据具体项目的特点和人才培养要求分批次、分地域进行。</w:t>
      </w:r>
    </w:p>
    <w:p w14:paraId="0596355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五、申报条件</w:t>
      </w:r>
    </w:p>
    <w:p w14:paraId="147676B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（一）本项目的项目申报主体为机构或单位（不含性质为机关法人的单位），其应同时具备以下条件：</w:t>
      </w:r>
    </w:p>
    <w:p w14:paraId="1023B8E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1.2023年4月15日前在中华人民共和国内地（大陆）同级行政机关登记、注册的机构或单位，在香港特别行政区、澳门特别行政区依法进行商业登记、公司注册或社团登记注册的机构或单位。</w:t>
      </w:r>
    </w:p>
    <w:p w14:paraId="33B5174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2.具备完善的管理制度，与实施项目相匹配的教学实践资源、师资力量和设施条件，能够提供详实、可行的培训方案。鼓励艺术创作单位与艺术教育科研单位合作开展项目。</w:t>
      </w:r>
    </w:p>
    <w:p w14:paraId="5C3320D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（二）已获得国家艺术基金立项资助的项目，未能在《国家艺术基金资助项目协议书》规定的实施周期内提交结项验收申请的，其项目主体不能再获得同一项目类型的资助。</w:t>
      </w:r>
    </w:p>
    <w:p w14:paraId="6D161EC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六、申报数量</w:t>
      </w:r>
    </w:p>
    <w:p w14:paraId="787F124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同一项目申报主体申报艺术人才培训资助项目不超过5项。</w:t>
      </w:r>
    </w:p>
    <w:p w14:paraId="479497B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七、申报时间</w:t>
      </w:r>
    </w:p>
    <w:p w14:paraId="79FE3AD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本项目从2026年4月15日起开始申报，至6月15日截止申报。管理中心在申报期内受理项目申报，并提供相关咨询服务，逾期不予受理。</w:t>
      </w:r>
    </w:p>
    <w:p w14:paraId="616754E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八、申报程序</w:t>
      </w:r>
    </w:p>
    <w:p w14:paraId="64B312F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（一）项目申报主体在规定的申报受理期内，通过国家艺术基金网站 （http://www.cnaf.cn），登录“国家艺术基金资助项目管理系统”，按要求填写《国家艺术基金（一般项目）2027年度艺术人才培训资助项目申报表》，上传申报材料。</w:t>
      </w:r>
    </w:p>
    <w:p w14:paraId="71B6F51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（二）管理中心自申请截止之日起30日内，完成对申报项目的审核。符合相关规定的予以受理；不符合相关规定的，不予受理并通知项目申报主体。</w:t>
      </w:r>
    </w:p>
    <w:p w14:paraId="4F8F4D9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（三）对项目申报主体提交的申报材料，管理中心按规定管理，并根据工作需要使用。</w:t>
      </w:r>
    </w:p>
    <w:p w14:paraId="39586A0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九、申报材料</w:t>
      </w:r>
    </w:p>
    <w:p w14:paraId="31632B0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（一）《国家艺术基金（一般项目）2027年度艺术人才培训资助项目申报表》。</w:t>
      </w:r>
    </w:p>
    <w:p w14:paraId="449642C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（二）内地（大陆）项目申报主体须提供同级行政主管部门颁发的登记、注册证书和统一社会信用代码证书；港澳特区项目申报主体须提供商业登记证书、公司注册证书或社团注册证明书等资质证明文件。</w:t>
      </w:r>
    </w:p>
    <w:p w14:paraId="4B62EE9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（三）上一年度财务报表（资产负债表、利润表或收入支出决算表）和本年度1月份社会保险个人权益记录（单位缴费信息）。</w:t>
      </w:r>
    </w:p>
    <w:p w14:paraId="28DF8DD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（四）申报项目已经获得或正在申请其他财政性资金、基金支持以及第三方资助的，须提供相应的批准文件或申报材料。</w:t>
      </w:r>
    </w:p>
    <w:p w14:paraId="2D6B847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（五）开展艺术人才培训项目的工作方案、完整课程安排、全部授课教师简介，以及与授课教师签署的协议。</w:t>
      </w:r>
    </w:p>
    <w:p w14:paraId="2F65C81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（六）申报项目涉及国外培训活动的，须提交与国外合作机构的合作协议。</w:t>
      </w:r>
    </w:p>
    <w:p w14:paraId="25425D9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（七）申报材料应于2026年6月15日前通过网络提交，管理中心不接受纸质申报材料。作为附件上传的辅助材料，图片应采用扫描的方式形成，视频应完整清晰，可识别度高。</w:t>
      </w:r>
    </w:p>
    <w:p w14:paraId="43B5B7C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十、签约实施</w:t>
      </w:r>
    </w:p>
    <w:p w14:paraId="11CF1A5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确定申报项目为立项资助项目后，管理中心将与项目申报主体签订《国家艺术基金资助项目协议书》。《国家艺术基金（一般项目）2027年度艺术人才培训资助项目申报表》作为协议书附件，具有同等约束力。</w:t>
      </w:r>
    </w:p>
    <w:p w14:paraId="73541B9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项目立项后，项目主体视为同意按照国家艺术基金安排，参加国家艺术基金组织的出版、演出、展览、展播和研讨等宣传推广活动，并将全部项目成果的展览权、放映权、广播权和信息网络传播权等与成果运用相关的著作权以非专有使用许可的方式授予管理中心。</w:t>
      </w:r>
    </w:p>
    <w:p w14:paraId="008700D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十一、监督验收</w:t>
      </w:r>
    </w:p>
    <w:p w14:paraId="13DB884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（一）资助项目应于2028年6月30日前提交完整的成果材料，参加结项验收。</w:t>
      </w:r>
    </w:p>
    <w:p w14:paraId="47959A7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（二）管理中心将按照《国家艺术基金资助项目监督管理办法》，对资助项目实施情况进行监督，并组织专家对资助项目进行结项验收。</w:t>
      </w:r>
    </w:p>
    <w:p w14:paraId="4D8346B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（三）项目主体应加强对授课内容的管理，录制全部课程的完整视频。</w:t>
      </w:r>
    </w:p>
    <w:p w14:paraId="41C126B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（四）项目主体要保证申报项目在申报及后续实施过程中均不侵犯任何第三方的著作权及其他合法权益。如有侵犯，项目主体依法承担全部责任。</w:t>
      </w:r>
    </w:p>
    <w:p w14:paraId="10312E1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项目主体违反《国家艺术基金资助项目监督管理办法》及其他有关管理规定的，视情况给予书面警告、通报批评、停止拨款、撤销项目、追回已拨资金、暂停申报资格等处罚。涉嫌违法违纪的移交有关部门处理。</w:t>
      </w:r>
    </w:p>
    <w:p w14:paraId="1D7BD40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十二、其他</w:t>
      </w:r>
    </w:p>
    <w:p w14:paraId="0EDF85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（一）资助项目在实施过程中，应在相关场所和材料显著位置标注“彩票公益金资助——中国福利彩票和中国体育彩票”和“国家艺术基金资助”标识。</w:t>
      </w:r>
    </w:p>
    <w:p w14:paraId="6CC5875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（二）国家艺术基金对项目主体在项目申报、实施过程中与第三方产生的纠纷不承担任何责任。</w:t>
      </w:r>
    </w:p>
    <w:p w14:paraId="71FAB39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（三）管理中心对本指南拥有最终解释权。</w:t>
      </w:r>
    </w:p>
    <w:p w14:paraId="13F88DEC">
      <w:pPr>
        <w:ind w:firstLine="640" w:firstLineChars="200"/>
      </w:pPr>
      <w:bookmarkStart w:id="0" w:name="_GoBack"/>
      <w:bookmarkEnd w:id="0"/>
      <w:r>
        <w:rPr>
          <w:rFonts w:hint="eastAsia" w:ascii="仿宋_GB2312" w:hAnsi="仿宋_GB2312" w:eastAsia="仿宋_GB2312" w:cs="仿宋_GB2312"/>
          <w:sz w:val="32"/>
          <w:szCs w:val="32"/>
        </w:rPr>
        <w:t>（四）本指南自发布之日起实施。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ZmEyYmIxNjAyMzM5ZGY0ZDg0NzcxZjRmOGNlYzkifQ=="/>
  </w:docVars>
  <w:rsids>
    <w:rsidRoot w:val="27AD05C4"/>
    <w:rsid w:val="1D2821E4"/>
    <w:rsid w:val="27AD0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4</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2026-03-26T07:51:00Z</dcterms:created>
  <dc:creator>王旖旎</dc:creator>
  <cp:lastModifiedBy>王旖旎</cp:lastModifiedBy>
  <dcterms:modified xsi:type="dcterms:W3CDTF">2026-03-26T07:56:47Z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85E31541AD8D41E297D1B664A39A91BD_11</vt:lpwstr>
  </property>
</Properties>
</file>